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Helvetica" w:hAnsi="Helvetica" w:cs="Helvetica" w:eastAsia="Helvetica"/>
          <w:b w:val="true"/>
          <w:color w:val="444444"/>
          <w:sz w:val="40"/>
        </w:rPr>
        <w:t>Export: Descriptions.tdltx</w:t>
      </w:r>
    </w:p>
    <w:p>
      <w:pPr>
        <w:pStyle w:val="Heading3"/>
      </w:pPr>
      <w:r>
        <w:t>X.Y.1</w:t>
        <w:tab/>
        <w:t>Descriptions</w:t>
      </w:r>
    </w:p>
    <w:p>
      <w:pPr>
        <w:pStyle w:val="TH"/>
        <w:spacing w:after="0"/>
      </w:pPr>
      <w:r>
        <w:t>Table X.Y.1-1: Test Purpose TPD_MDD_01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TPD_MDD_01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Issue a request via Postman to all domain controllers, to check the overall viability of the test network.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Plugtests Test Plan V1.0 (2020-11), 8.3.2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TestLanArchitecture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(MW_8040 or MW_8345)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//etc.</w:t>
              <w:br/>
              <w:t>with {</w:t>
              <w:br/>
              <w:t xml:space="preserve">  //initial textual</w:t>
              <w:br/>
              <w:t xml:space="preserve">  perform action: "Postman has been correctly initialized earlier, by executing</w:t>
              <w:br/>
              <w:t xml:space="preserve">                   TD_POSTMAN_INIT"</w:t>
              <w:br/>
              <w:t xml:space="preserve">  perform action: "All the Domain Controller instances up and running normally"</w:t>
              <w:br/>
              <w:t xml:space="preserve">  perform action: "All the devices are upgraded to correct versions"</w:t>
              <w:br/>
              <w:t xml:space="preserve">  perform action: "All basic configurations are completed (e.g., NE_id, OSPF, PCEP, etc.)"</w:t>
              <w:br/>
              <w:t xml:space="preserve">  //then gradually formalised, e.g.</w:t>
              <w:br/>
              <w:t xml:space="preserve">  execute DomainControllersInitialisation</w:t>
              <w:br/>
              <w:t xml:space="preserve">  execute DevicesUpgrade</w:t>
              <w:br/>
              <w:t xml:space="preserve">  execute BasicConfigurationsSetup</w:t>
              <w:br/>
              <w:t xml:space="preserve">  //...</w:t>
              <w:br/>
              <w:t>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when {</w:t>
              <w:br/>
              <w:t xml:space="preserve">    //initial textual</w:t>
              <w:br/>
              <w:t xml:space="preserve">    perform action: "Send GET request via Postman to all domain controllers by</w:t>
              <w:br/>
              <w:t xml:space="preserve">                     executing Collection TD_MDD_01"</w:t>
              <w:br/>
              <w:t xml:space="preserve">    //refine to first structure</w:t>
              <w:br/>
              <w:t xml:space="preserve">    //TODO: what happens to all the parentheses?!?! -&gt; make filter optional (or remove?)</w:t>
              <w:br/>
              <w:t xml:space="preserve">    pm::mpi sends rGET() to X::mpi</w:t>
              <w:br/>
              <w:t xml:space="preserve">    //refine to specific uri inline</w:t>
              <w:br/>
              <w:t xml:space="preserve">    pm::mpi sends rGET(</w:t>
              <w:br/>
              <w:t xml:space="preserve">      uri = "{{TD_SDN_RESTCONF_PATH}}/data/ietf-yang-library:modules-state"</w:t>
              <w:br/>
              <w:t xml:space="preserve">    ) to X::mpi</w:t>
              <w:br/>
              <w:t xml:space="preserve">    //...or define elsewhere</w:t>
              <w:br/>
              <w:t xml:space="preserve">    pm::mpi sends rGET(</w:t>
              <w:br/>
              <w:t xml:space="preserve">      uri = modules_state_uri</w:t>
              <w:br/>
              <w:t xml:space="preserve">    ) to X::mpi</w:t>
              <w:br/>
              <w:t xml:space="preserve">  }</w:t>
              <w:br/>
              <w:t xml:space="preserve">  then {</w:t>
              <w:br/>
              <w:t xml:space="preserve">    //initial textual</w:t>
              <w:br/>
              <w:t xml:space="preserve">    perform action: "Check the response body of each request and confirm if all the</w:t>
              <w:br/>
              <w:t xml:space="preserve">                     Restconf servers are serviceable."</w:t>
              <w:br/>
              <w:t xml:space="preserve">    perform action: "The response body of the request should contain a list of all</w:t>
              <w:br/>
              <w:t xml:space="preserve">                     YANG modules and submodules used by the Restconf server along with</w:t>
              <w:br/>
              <w:t xml:space="preserve">                     information about name and revision for each module."</w:t>
              <w:br/>
              <w:t xml:space="preserve">    perform action: "The response body of each query should contain the specified YANG</w:t>
              <w:br/>
              <w:t xml:space="preserve">                     module along with its name and revision."</w:t>
              <w:br/>
              <w:t xml:space="preserve">    //refinements</w:t>
              <w:br/>
              <w:t xml:space="preserve">    // Test 1: Check the response body of the above request and confirm if the Restconf</w:t>
              <w:br/>
              <w:t xml:space="preserve">    // server is serviceable.</w:t>
              <w:br/>
              <w:t xml:space="preserve">    pm::mpi receives OK() from X::mpi</w:t>
              <w:br/>
              <w:t xml:space="preserve">    // Step 2: The response body of the request should contain a list of all YANG modules</w:t>
              <w:br/>
              <w:t xml:space="preserve">    //and submodules used by the Restconf server along with information about name and revision</w:t>
              <w:br/>
              <w:t xml:space="preserve">    //for each module.</w:t>
              <w:br/>
              <w:t xml:space="preserve">    //---</w:t>
              <w:br/>
              <w:t xml:space="preserve">    //asserts can be used but probably simpler to use a specification of the expected data</w:t>
              <w:br/>
              <w:t xml:space="preserve">    //optionally: explicit objective that can be checked</w:t>
              <w:br/>
              <w:t xml:space="preserve">    Objective: ResponseContainsAllYanModules</w:t>
              <w:br/>
              <w:t xml:space="preserve">    pm::mpi receives OK(</w:t>
              <w:br/>
              <w:t xml:space="preserve">        body = JSON_instance_modules_state(</w:t>
              <w:br/>
              <w:t xml:space="preserve">          modules_state = ?,</w:t>
              <w:br/>
              <w:t xml:space="preserve">          modules_state = ?,</w:t>
              <w:br/>
              <w:t xml:space="preserve">          //TODO: do we need a pattern ? / * for collections? Otherwise we need a loop instead</w:t>
              <w:br/>
              <w:t xml:space="preserve">          //TODO: as a side note, is checking for the presence of a property</w:t>
              <w:br/>
              <w:t xml:space="preserve">          //      equivalent to that property having any value?</w:t>
              <w:br/>
              <w:t xml:space="preserve">          modules[*] = (name = ?, revision = ?, namespace = ?)</w:t>
              <w:br/>
              <w:t xml:space="preserve">          //...</w:t>
              <w:br/>
              <w:t xml:space="preserve">    )) from X::mpi</w:t>
              <w:br/>
              <w:t xml:space="preserve">    //asserts can provide fine granular diagnostics though, for individual problems</w:t>
              <w:br/>
              <w:t xml:space="preserve">    response = pm::mpi receives OK() from X::mpi</w:t>
              <w:br/>
              <w:t xml:space="preserve">    //optionally: explicit objective that can be checked</w:t>
              <w:br/>
              <w:t xml:space="preserve">    Objective: ResponseContainsAllYanModules</w:t>
              <w:br/>
              <w:t xml:space="preserve">    //optionally: annotations can be used for inline information</w:t>
              <w:br/>
              <w:t xml:space="preserve">    @Failure: "The response body of the request should contain a list of all YANG modules"</w:t>
              <w:br/>
              <w:t xml:space="preserve">    //TODO: property access for subclasses?</w:t>
              <w:br/>
              <w:t xml:space="preserve">    //TODO: do we have matching expressions in assertions as well</w:t>
              <w:br/>
              <w:t xml:space="preserve">    //TODO: do we have checking of types</w:t>
              <w:br/>
              <w:t xml:space="preserve">    assert ( pm::response.body == JSON_instance_modules_state(</w:t>
              <w:br/>
              <w:t xml:space="preserve">      modules_state = ?,</w:t>
              <w:br/>
              <w:t xml:space="preserve">      //TODO: do we need a pattern ? / * for collections? Otherwise we need a loop instead</w:t>
              <w:br/>
              <w:t xml:space="preserve">      //TODO: as a side note, is checking for the presence of a property</w:t>
              <w:br/>
              <w:t xml:space="preserve">      //      equivalent to that property having any value?</w:t>
              <w:br/>
              <w:t xml:space="preserve">      modules[*] = (name = ?, revision = ?, namespace = ?)</w:t>
              <w:br/>
              <w:t xml:space="preserve">      //</w:t>
              <w:br/>
              <w:t xml:space="preserve">    ))</w:t>
              <w:br/>
              <w:t xml:space="preserve">      on pm //may be skipped at first</w:t>
              <w:br/>
              <w:t xml:space="preserve">      with {</w:t>
              <w:br/>
              <w:t xml:space="preserve">        timeLabel=now</w:t>
              <w:br/>
              <w:t xml:space="preserve">      }</w:t>
              <w:br/>
              <w:t xml:space="preserve">    //alternatively with a loop</w:t>
              <w:br/>
              <w:t xml:space="preserve">    //TODO: do we need counters? integrated in loops? e.g. with state to address collections?</w:t>
              <w:br/>
              <w:t xml:space="preserve">    pm::i = 0</w:t>
              <w:br/>
              <w:t xml:space="preserve">    repeat 5 times on pm</w:t>
              <w:br/>
              <w:t xml:space="preserve">    //[MW_8040]</w:t>
              <w:br/>
              <w:t xml:space="preserve">    {</w:t>
              <w:br/>
              <w:t xml:space="preserve">      //DONE: fixed constraint with bounded loop behaviour, still not quite there</w:t>
              <w:br/>
              <w:t xml:space="preserve">      assert ( pm::response.body == JSON_instance_modules_state(</w:t>
              <w:br/>
              <w:t xml:space="preserve">        modules_state = ?,</w:t>
              <w:br/>
              <w:t xml:space="preserve">        //TODO: as a side note, is checking for the presence of a property</w:t>
              <w:br/>
              <w:t xml:space="preserve">        //      equivalent to that property having any value?</w:t>
              <w:br/>
              <w:t xml:space="preserve">        modules[pm::i] = (name = ?, revision = ?, namespace = ?)</w:t>
              <w:br/>
              <w:t xml:space="preserve">        //</w:t>
              <w:br/>
              <w:t xml:space="preserve">      ))</w:t>
              <w:br/>
              <w:t xml:space="preserve">        on pm //may be skipped at first</w:t>
              <w:br/>
              <w:t xml:space="preserve">      //DONE: handle undefined return types -&gt; a bit of a hack, assuming they are the same</w:t>
              <w:br/>
              <w:t xml:space="preserve">      pm::i = ( pm::i + 1 )</w:t>
              <w:br/>
              <w:t xml:space="preserve">    }</w:t>
              <w:br/>
              <w:t xml:space="preserve">  }</w:t>
              <w:br/>
              <w:t>}</w:t>
            </w:r>
          </w:p>
        </w:tc>
      </w:tr>
    </w:tbl>
    <w:p/>
    <w:p>
      <w:pPr>
        <w:pStyle w:val="TH"/>
        <w:spacing w:after="0"/>
      </w:pPr>
      <w:r>
        <w:t>Table X.Y.1-2: Test Purpose TPD_MSP_01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TPD_MSP_01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Create the specified L2 data services over all available domains. The TGA confirms that data start flowing. The traffic on the inter-domain links is classified based on S- VLAN only.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Plugtests Test Plan V1.0 (2020-11), 8.5.2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TestLanArchitecture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(MW_8040 or MW_8345)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//etc.</w:t>
              <w:br/>
              <w:t>with {</w:t>
              <w:br/>
              <w:t xml:space="preserve">  //initial textual</w:t>
              <w:br/>
              <w:t xml:space="preserve">  perform action: "Postman has been correctly initialized earlier, by executing TD_POSTMAN_INIT"</w:t>
              <w:br/>
              <w:t xml:space="preserve">  perform action: "The Domain Controller instance is up and running normally"</w:t>
              <w:br/>
              <w:t xml:space="preserve">  perform action: "All the devices are upgraded to correct versions"</w:t>
              <w:br/>
              <w:t xml:space="preserve">  perform action: "All basic configurations are completed (e.g., NE_id, OSPF, PCEP, etc.)"</w:t>
              <w:br/>
              <w:t xml:space="preserve">  perform action: "All Restconf servers are serviceable."</w:t>
              <w:br/>
              <w:t xml:space="preserve">  perform action: "If TD_SSP_01 has been run before TD_ MSP_01, all Domain Controllers and</w:t>
              <w:br/>
              <w:t xml:space="preserve">                   microwave units should be reset to the state they were before executing</w:t>
              <w:br/>
              <w:t xml:space="preserve">                   TD_SSP_01"</w:t>
              <w:br/>
              <w:t xml:space="preserve">  //then gradually formalised, e.g.</w:t>
              <w:br/>
              <w:t xml:space="preserve">  execute DomainControllerInitialisation</w:t>
              <w:br/>
              <w:t xml:space="preserve">  execute DomainControllerInitialisation</w:t>
              <w:br/>
              <w:t xml:space="preserve">  execute DevicesUpgrade</w:t>
              <w:br/>
              <w:t xml:space="preserve">  execute BasicConfigurationsSetup</w:t>
              <w:br/>
              <w:t xml:space="preserve">  if [TD_SSP_01_Completed] {</w:t>
              <w:br/>
              <w:t xml:space="preserve">    execute ResetDomainControllers</w:t>
              <w:br/>
              <w:t xml:space="preserve">    execute ResetMicrowaveUnits</w:t>
              <w:br/>
              <w:t xml:space="preserve">  }</w:t>
              <w:br/>
              <w:t xml:space="preserve">  //...</w:t>
              <w:br/>
              <w:t>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when {</w:t>
              <w:br/>
              <w:t xml:space="preserve">    //initial textual</w:t>
              <w:br/>
              <w:t xml:space="preserve">    perform action: "Send POST request via Postman to all domain controllers</w:t>
              <w:br/>
              <w:t xml:space="preserve">                     by executing Collection TD_ SSP_01"</w:t>
              <w:br/>
              <w:t>//        //refine to first structure</w:t>
              <w:br/>
              <w:t>//        pm::mpi sends rPOST() to X::mpi</w:t>
              <w:br/>
              <w:t>//        //refine to specific body (or define inline)</w:t>
              <w:br/>
              <w:t>//        pm::mpi sends rPOST(body = JSON_instance) to X::mpi</w:t>
              <w:br/>
              <w:t>//</w:t>
              <w:br/>
              <w:t>//        //provide additional parameter overrides</w:t>
              <w:br/>
              <w:t>//        pm::mpi sends rPOST(</w:t>
              <w:br/>
              <w:t>//          body = JSON_instance (</w:t>
              <w:br/>
              <w:t>//            services[0].adminStatus = "up",</w:t>
              <w:br/>
              <w:t>//            //..</w:t>
              <w:br/>
              <w:t>//            //TODO: check constraints</w:t>
              <w:br/>
              <w:t>//            services[0].ports[1].accessNodeId = node1</w:t>
              <w:br/>
              <w:t>//            //..</w:t>
              <w:br/>
              <w:t>//          )</w:t>
              <w:br/>
              <w:t>//        )</w:t>
              <w:br/>
              <w:t>//        to X::mpi //....</w:t>
              <w:br/>
              <w:t xml:space="preserve">  }</w:t>
              <w:br/>
              <w:t xml:space="preserve">  then {</w:t>
              <w:br/>
              <w:t xml:space="preserve">    //initial textual</w:t>
              <w:br/>
              <w:t xml:space="preserve">    perform action: "Check the TGA if the data start flowing properly."</w:t>
              <w:br/>
              <w:t>//        pm::mpi receives OK() from X::mpi</w:t>
              <w:br/>
              <w:t>//        pm::mpi receives OK(body = JSON_instance) from X::mpi</w:t>
              <w:br/>
              <w:t>//        pm::mpi receives OK(</w:t>
              <w:br/>
              <w:t>//          body = JSON_instance(</w:t>
              <w:br/>
              <w:t>//            //..</w:t>
              <w:br/>
              <w:t>//            services[2] = omit,</w:t>
              <w:br/>
              <w:t>//            //...</w:t>
              <w:br/>
              <w:t>//            services[3].ports[1] = omit</w:t>
              <w:br/>
              <w:t>//          )</w:t>
              <w:br/>
              <w:t>//        )</w:t>
              <w:br/>
              <w:t>//        from X::mpi</w:t>
              <w:br/>
              <w:t>//        //first response definition, then refined, also with overrides</w:t>
              <w:br/>
              <w:t>//        //!TODO: Why are comments before receive message not OK?</w:t>
              <w:br/>
              <w:t>//        //... refine further</w:t>
              <w:br/>
              <w:t xml:space="preserve">  }</w:t>
              <w:br/>
              <w:t>}</w:t>
            </w:r>
          </w:p>
        </w:tc>
      </w:tr>
    </w:tbl>
    <w:p/>
    <w:p>
      <w:pPr>
        <w:pStyle w:val="TH"/>
        <w:spacing w:after="0"/>
      </w:pPr>
      <w:r>
        <w:t>Table X.Y.1-3: Test Purpose TPD_MSP_04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TPD_MSP_04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The Ethernet service information is requested from all the DCs under test in TD_MSP_03. The received information is checked to correctly not list the newly deleted services anymore.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ETSI Plugtests Test Plan V1.0 (2020-11), 8.5.2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TestLanArchitecture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(MW_8040 or MW_8345)</w:t>
            </w:r>
          </w:p>
        </w:tc>
      </w:tr>
      <w:tr w:rsidR="004A47C2" w14:paraId="573FA4E8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7F3CB6D9" w14:textId="77777777" w:rsidR="004A47C2" w:rsidRDefault="004A47C2" w:rsidP="00E45397">
            <w:pPr>
              <w:pStyle w:val="TAH"/>
            </w:pPr>
            <w:r>
              <w:t>Initial Conditions</w:t>
            </w:r>
          </w:p>
        </w:tc>
      </w:tr>
      <w:tr w:rsidR="004A47C2" w:rsidRPr="00960812" w14:paraId="67C08B34" w14:textId="77777777" w:rsidTr="00E96DC3">
        <w:trPr>
          <w:jc w:val="center"/>
        </w:trPr>
        <w:tc>
          <w:tcPr>
            <w:tcW w:w="9628" w:type="dxa"/>
            <w:gridSpan w:val="2"/>
            <w:shd w:val="clear" w:color="auto" w:fill="" w:themeFillShade="E6"/>
          </w:tcPr>
          <w:p w14:paraId="3FA63EB5" w14:textId="77777777" w:rsidR="004A47C2" w:rsidRPr="00960812" w:rsidRDefault="004A47C2" w:rsidP="00E45397">
            <w:pPr>
              <w:pStyle w:val="BodyA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60812">
              <w:rPr>
                <w:rFonts w:ascii="Courier New" w:hAnsi="Courier New" w:cs="Courier New"/>
                <w:sz w:val="16"/>
                <w:szCs w:val="16"/>
              </w:rPr>
              <w:t/>
              <w:t>//etc.</w:t>
              <w:br/>
              <w:t>with {</w:t>
              <w:br/>
              <w:t xml:space="preserve">  //initial textual</w:t>
              <w:br/>
              <w:t xml:space="preserve">  perform action: "Postman has been correctly initialized earlier, by executing TD_POSTMAN_INIT"</w:t>
              <w:br/>
              <w:t xml:space="preserve">  perform action: "All the Domain Controller instances are up and running normally"</w:t>
              <w:br/>
              <w:t xml:space="preserve">  perform action: "All the devices are upgraded to correct versions"</w:t>
              <w:br/>
              <w:t xml:space="preserve">  perform action: "All basic configurations are completed (e.g., NE_id, OSPF, PCEP, etc.)"</w:t>
              <w:br/>
              <w:t xml:space="preserve">  perform action: "All Restconf servers are serviceable."</w:t>
              <w:br/>
              <w:t xml:space="preserve">  perform action: "All L2 data services are successfully created."</w:t>
              <w:br/>
              <w:t xml:space="preserve">  //then gradually formalised, e.g.</w:t>
              <w:br/>
              <w:t xml:space="preserve">  execute DomainControllersInitialisation</w:t>
              <w:br/>
              <w:t xml:space="preserve">  execute DevicesUpgrade</w:t>
              <w:br/>
              <w:t xml:space="preserve">  execute BasicConfigurationsSetup</w:t>
              <w:br/>
              <w:t xml:space="preserve">  execute L2DataServicesCreation</w:t>
              <w:br/>
              <w:t xml:space="preserve">  //...</w:t>
              <w:br/>
              <w:t>}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when {</w:t>
              <w:br/>
              <w:t xml:space="preserve">    //initial textual</w:t>
              <w:br/>
              <w:t xml:space="preserve">    perform action: "Send GET request via Postman to</w:t>
              <w:br/>
              <w:t xml:space="preserve">            all domain controllers by executing</w:t>
              <w:br/>
              <w:t xml:space="preserve">            Collection TD_MSP_04"</w:t>
              <w:br/>
              <w:t xml:space="preserve">    //refine to first structure</w:t>
              <w:br/>
              <w:t xml:space="preserve">    pm::mpi sends rGET() to X::mpi</w:t>
              <w:br/>
              <w:t xml:space="preserve">    //refine to specific body (or define inline)</w:t>
              <w:br/>
              <w:t xml:space="preserve">    pm::mpi sends rGET(body = JSON_instance) to X::mpi</w:t>
              <w:br/>
              <w:t xml:space="preserve">    //provide additional parameter overrides</w:t>
              <w:br/>
              <w:t xml:space="preserve">    pm::mpi sends rGET(</w:t>
              <w:br/>
              <w:t xml:space="preserve">      body = JSON_instance (</w:t>
              <w:br/>
              <w:t xml:space="preserve">        services[0].adminStatus = "up" {JSON_String},</w:t>
              <w:br/>
              <w:t xml:space="preserve">        //..</w:t>
              <w:br/>
              <w:t xml:space="preserve">        //DONE: check constraints</w:t>
              <w:br/>
              <w:t xml:space="preserve">        services[0].ports[1].accessNodeId = node1</w:t>
              <w:br/>
              <w:t xml:space="preserve">        //..</w:t>
              <w:br/>
              <w:t xml:space="preserve">      )</w:t>
              <w:br/>
              <w:t xml:space="preserve">    )</w:t>
              <w:br/>
              <w:t xml:space="preserve">    to X::mpi //....</w:t>
              <w:br/>
              <w:t xml:space="preserve">  }</w:t>
              <w:br/>
              <w:t xml:space="preserve">  then {</w:t>
              <w:br/>
              <w:t xml:space="preserve">    //initial textual</w:t>
              <w:br/>
              <w:t xml:space="preserve">    perform action: "The response body should no longer contain</w:t>
              <w:br/>
              <w:t xml:space="preserve">             information about the L2 service deleted in TD_MSP_03"</w:t>
              <w:br/>
              <w:t xml:space="preserve">    //basic response definition</w:t>
              <w:br/>
              <w:t xml:space="preserve">    pm::mpi receives OK() from X::mpi</w:t>
              <w:br/>
              <w:t xml:space="preserve">    //refined with reference to body definition</w:t>
              <w:br/>
              <w:t xml:space="preserve">    pm::mpi receives OK(body = JSON_instance) from X::mpi</w:t>
              <w:br/>
              <w:t xml:space="preserve">    //refined with inline overrides</w:t>
              <w:br/>
              <w:t xml:space="preserve">    pm::mpi receives OK(</w:t>
              <w:br/>
              <w:t xml:space="preserve">      body = JSON_instance(</w:t>
              <w:br/>
              <w:t xml:space="preserve">        //..</w:t>
              <w:br/>
              <w:t xml:space="preserve">        //TODO: does an optional collection member imply entire collection is ommitted?</w:t>
              <w:br/>
              <w:t xml:space="preserve">        //      or also individual items?</w:t>
              <w:br/>
              <w:t xml:space="preserve">        //TODO: does special value use conform to everything?</w:t>
              <w:br/>
              <w:t xml:space="preserve">        services[2] = omit,</w:t>
              <w:br/>
              <w:t xml:space="preserve">        //...</w:t>
              <w:br/>
              <w:t xml:space="preserve">        services[3].ports[1] = omit</w:t>
              <w:br/>
              <w:t xml:space="preserve">      )</w:t>
              <w:br/>
              <w:t xml:space="preserve">    )</w:t>
              <w:br/>
              <w:t xml:space="preserve">    from X::mpi</w:t>
              <w:br/>
              <w:t xml:space="preserve">    //... refine further</w:t>
              <w:br/>
              <w:t xml:space="preserve">  }</w:t>
              <w:br/>
              <w:t>}</w:t>
            </w:r>
          </w:p>
        </w:tc>
      </w:tr>
    </w:tbl>
    <w:p/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2023-12-22T13:00:20Z</dcterms:created>
  <dc:creator>Apache POI</dc:creator>
</cp:coreProperties>
</file>